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2015/33 vom 16. Juni 2016</w:t>
      </w:r>
    </w:p>
    <w:p>
      <w:r>
        <w:t>Sg Versicherungsgericht, 2016-06-16, DE</w:t>
      </w:r>
    </w:p>
    <w:p>
      <w:r>
        <w:rPr>
          <w:b/>
        </w:rPr>
        <w:t xml:space="preserve">Quelle: </w:t>
      </w:r>
      <w:r>
        <w:t>https://mcp.opencaselaw.ch/entscheid/sg_publikationen_AVI 2015_33</w:t>
      </w:r>
    </w:p>
    <w:p>
      <w:r>
        <w:t>FR: SG_VERSICHERUNGSGERICHT AVI 2015/33 du 16 juin 2016</w:t>
      </w:r>
    </w:p>
    <w:p>
      <w:r>
        <w:t>IT: SG_VERSICHERUNGSGERICHT AVI 2015/33 del 16 giugno 2016</w:t>
      </w:r>
    </w:p>
    <w:p>
      <w:pPr>
        <w:pStyle w:val="Heading2"/>
      </w:pPr>
      <w:r>
        <w:t>Regeste</w:t>
      </w:r>
    </w:p>
    <w:p>
      <w:r>
        <w:t>Art. 23 Abs. 1 AVIG, Art. 53 Abs. 2 ATSG. Mitarbeiterbindungsprämien auf Grund einer Umstrukturierung bei der Arbeitgeberin sind bei der Berechnung des versicherten Verdienstes nicht zu berücksichtigen. Rückforderung der zuviel ausgerichteten Arbeitslosentaggelder infolge zulässiger Wiedererwägung (Entscheid des Versicherungsgerichts des Kantons St. Gallen vom 16. Juni 2016, AVI 2015/33). Entscheid vom 16. Juni 2016</w:t>
      </w:r>
    </w:p>
    <w:p>
      <w:pPr>
        <w:pStyle w:val="Heading2"/>
      </w:pPr>
      <w:r>
        <w:t>Erwägungen</w:t>
      </w:r>
    </w:p>
    <w:p>
      <w:r>
        <w:rPr>
          <w:b/>
        </w:rPr>
        <w:t>E. 1</w:t>
      </w:r>
    </w:p>
    <w:p>
      <w:r>
        <w:t>Zwischen den Parteien ist die Höhe des versicherten Verdienstes und damit verbunden die Rückforderung von Arbeitslosentaggeldern streitig. Zunächst ist zu prüfen, ob die von der Arbeitgeberin ausserordentlich ausgerichteten Zahlungen zum versicherten Verdienst dazuzuzählen sind.</w:t>
      </w:r>
    </w:p>
    <w:p>
      <w:r>
        <w:rPr>
          <w:b/>
        </w:rPr>
        <w:t>E. 2</w:t>
      </w:r>
    </w:p>
    <w:p>
      <w:r>
        <w:t>2.1      Als versicherter Verdienst nach Art. 23 Abs. 1 des Bundesgesetzes über die obligatorische Arbeitslosenversicherung und die Insolvenzentschädigung (AVIG; SR 837.0) gilt der im Sinne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Sinne von Art. 5 Abs. 2 des Bundesgesetzes über die Alters- und Hinterlassenenversicherung (AHVG; SR 831.10) anknüpft. Bei der Ermittlung des versicherten Verdiensts gemäss Art. 23 Abs. 1 AVIG ist der tatsächlich bezogene Lohn massgebend; eine davon abweichende Lohnabrede zwischen Arbeitgebenden und Arbeitnehmenden hat grundsätzlich unbeachtlich zu bleiben (BGE 131 V 450 f. E. 3.2.1 mit Hinweisen).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Entschädigung für nicht bezogene Ferien bei der Festsetzung des versicherten Verdienstes ausser Acht zu lassen (Thomas Nussbaumer, Arbeitslosenversicherung, in: Schweizerisches Bundesverwaltungsrecht, Bd. XIV Soziale Sicherheit, 3. Aufl. Basel 2016, Rz 366 f. mit Hinweisen). 2.2      Gemäss dem „Mitarbeiterbindungs- sowie Sozialplan“ für den Beschwerdeführer legte die Arbeitgeberin unter dem Titel „Mitarbeiterbindung“ fest, dass er bei einem Verbleib bis 31.01.2012 Fr. 5‘650.-- und bei einem Verbleib bis 31.12.2012 Fr. 20‘717.-- ausbezahlt erhalte. Auch die im Rahmen der befristeten Arbeitsvertragsverlängerung bis 30. September 2013 in Aussicht gestellte Zahlung in Höhe von Fr. 15‘000.-- betitelte die Arbeitgeberin als „Prämie bei Verbleib bis 30.09.2013“. Die drei Prämien wurden schliesslich im Februar 2012 (Fr. 5‘650.--), Januar 2013 (Fr. 20‘717.--) und Oktober 2013 (Fr. 15‘000.--) ausbezahlt (act. G 4.12/1). Wie auch die Arbeitgeberin mit Schreiben vom 16. April 2015 bestätigte, handelte es sich bei diesen Prämien um eine Entschädigung für die Betriebstreue des Beschwerdeführers, der solange für die Arbeitgeberin weiterarbeitete, bis sie im Rahmen ihrer Umstrukturierungen die Maschinen ausgelagert hatte (vgl. act. G 4.2.6). Damit ist bei den besagten Prämien grundsätzlich nicht von arbeitsvertraglich vereinbarten Bonuszahlungen, sondern von Sonderprämien zur Bindung des Beschwerdeführers an die Arbeitgeberin auszugehen. Diese können weder als „normalerweise“ erzielter Lohn, noch als vertraglich vereinbarte regelmässige Lohnzulagen qualifiziert werden. Eine Berücksichtigung würde vielmehr dem Sinn und Zweck der Arbeitslosenversicherung, nur für normale übliche Arbeitnehmertätigkeit Versicherungsschutz zu bieten, zuwiderlaufen. In diesem Sinne hat das Bundesgericht im Urteil vom 26. Juni 2006 entschieden, dass eine im Arbeitsvertrag vereinbarte Sonderprämie in Höhe von drei Monatslöhnen, deren Ausrichtung nur für ganz besondere Umstände vorgesehen war und die nur ein einziges Mal bei der Einstellung des Betriebs ausgerichtet wurde, nicht normalerweise erzielter Lohn nach Art. 23 Abs. 1 AVIG darstellte und demnach für die Berechnung des versicherten Verdienstes nicht zu berücksichtigen war (ARV 2006 Nr. 27 S. 307 E. 4.2; vgl. auch ARV 2016 Nr. 1 S. 51ff., wonach ein „Retention Cash Grants“, der einem Sales Manager wegen der Befürchtung, er könne die Arbeitgeberin vorzeitig verlassen, neben Lohn und Abgangsentschädigung ausgerichtet wurde, eine freiwillige Zuwendung gemäss Art. 11a AVIG und keinen Lohn- oder Entschädigungsanspruch nach Art. 11 Abs. 3 AVIG darstellte, weil er bei vorzeitiger Beendigung des Arbeitsverhältnisses dahingefallen wäre und schon bei zufriedenstellender Leistung geschuldet war). An dieser Qualifizierung ändert auch nichts, dass die Arbeitgeberin - laut ihrem E-Mail vom 21. Juni 2012 nach telefonischer Rücksprache mit dem RAV - dem Beschwerdeführer bestätigen wollte, die Prämie werde für die Lohnberechnung beim RAV angerechnet (vgl. act. G 1.7). 2.3      Zusammenfassend ergibt sich, dass die Mitarbeiterbindungsprämien am 27. November 2013 (act. G 4.13) somit zu Unrecht in die Berechnung des versicherten Verdienstes eingeflossen sind.</w:t>
      </w:r>
    </w:p>
    <w:p>
      <w:r>
        <w:rPr>
          <w:b/>
        </w:rPr>
        <w:t>E. 3</w:t>
      </w:r>
    </w:p>
    <w:p>
      <w:r>
        <w:t>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bei eingetretener Rechtskraft der Leistungsentrichtung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3. Aufl. Zürich 2015, Art. 53 N 19). Leistungsabrechnungen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vom 14. Juli 2003, C 7/02, E. 3.1; BGE 125 V 476 E. 1 und 122 V 368 E. 2 mit Hinweisen). Sind formell oder formlos zugesprochene Leistungen noch nicht rechtskräftig geworden, kann die Verwaltung innert 30 Tagen darauf zurückkommen, ohne dass - wie dies im Fall des Zurückkommens auf rechtskräftige Verfügungen der Fall ist - die Voraussetzungen für eine Wiedererwägung oder Revision erfüllt sein müssen. Die Frist von 30 Tagen läuft ab Erlass der zu berichtigenden Verfügung oder ab Leistungsausrichtung. Sie darf nicht mit der «angemessenen Frist» von 90 Tagen verwechselt werden, die den Versicherten eingeräumt wird, um eine formelle Verfügung zu verlangen (vgl. Kreisschreiben über Rückforderung, Verrechnung, Erlass und Inkasso [KS-RVEI], April 2008, Rz A2 ff.).</w:t>
      </w:r>
    </w:p>
    <w:p>
      <w:r>
        <w:rPr>
          <w:b/>
        </w:rPr>
        <w:t>E. 4</w:t>
      </w:r>
    </w:p>
    <w:p>
      <w:r>
        <w:t>4.1      Nachdem die Rückforderung erst am 2. Februar 2015 (act. G 4.5) verfügt wurde, ist die Beschwerdegegnerin offensichtlich nicht innerhalb von 30 Tagen nach deren jeweiliger Auszahlung auf die Leistungsabrechnungen zurückgekommen. Entsprechendes wird von der Beschwerdegegnerin auch nicht geltend gemacht. Zu prüfen ist damit, ob - wie von der Beschwerdegegnerin geltend gemacht wird - der Rückkommenstitel der Wiedererwägung vorliegt. 4.2      Ob die Unrichtigkeit im Sinne von Art. 53 Abs. 2 ATSG zweifellos ist, beurteilt sich nicht nach der Grobheit des Fehlers. Massgebend muss vielmehr das Ausmass der Überzeugung sein, dass die bisherige Entscheidung unrichtig war. Mit dem Kriterium der Zweifellosigkeit wird dabei ein hoher Grad umschrieben. Es darf kein vernünftiger Zweifel daran möglich sein, dass eine Unrichtigkeit vorliegt; es ist ein einziger Schluss - eben derjenige auf eine Unrichtigkeit - möglich (Kieser, a.a.O., Art. 53 N 52 mit Hinweisen). Eine Wiedererwägung kann des Weiteren nur dann vorgenommen werden, wenn die infrage stehende Korrektur erheblich ist. Eine erhebliche Bedeutung ist insbesondere dann noch nicht anzunehmen, wenn ein Betrag von wenigen Hundert Franken auf dem Spiel steht (Kieser, a.a.O., Art. 53 N 57 f. mit Hinweisen auf die Rechtsprechung). 4.3      Nachdem die Beschwerdegegnerin bei der ursprünglichen Berechnung des versicherten Verdienstes die Mitarbeiterbindungsprämien als Bonuszahlungen einberechnet hat, obwohl eine solche Qualifizierung offensichtlich falsch war, war die Höhe des versicherten Verdienstes zweifellos unrichtig. Entgegen der Ansicht des Rechtsvertreters des Beschwerdeführers handelt es sich hier nicht um eine Ermessensbetätigung, sondern um einen Fehler in der Rechtsanwendung. Die Erheblichkeit der Berichtigung ist sodann beim fraglichen Rückforderungsbetrag von über Fr. 15‘000.-- ohne weiteres gegeben. 4.4      Im Übrigen ist darauf hinzuweisen, dass nach Eintritt der Rechtskraft dieses Entscheids die zuständige kantonale Stelle über das Gesuch des Beschwerdeführers vom 2. März 2015 um Erlass der Rückforderung (act. G 4.4) zu entscheiden hat (vgl. auch act. G 1.1 Ziff. 10).</w:t>
      </w:r>
    </w:p>
    <w:p>
      <w:r>
        <w:rPr>
          <w:b/>
        </w:rPr>
        <w:t>E. 5</w:t>
      </w:r>
    </w:p>
    <w:p>
      <w:r>
        <w:t>5.1      Nach dem Gesagten erweist sich der angefochtene Einspracheentscheid vom 11. Mai 2015 als korrekt. Die Beschwerde ist demzufolge abzuweisen. Gerichtskosten sind keine zu erheben (Art. 61 lit. a ATSG). 5.2      Dem Beschwerdeführer wurde die unentgeltliche Rechtsverbeiständung bewilligt (act. G 6). Der Staat ist demzufolge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vergleichbare Fälle eine pauschale Parteientschädigung von Fr. 3'000.-- angemessen. Diese ist um einen Fünftel zu kürzen (Art. 31 Abs. 3 des st. gallischen Anwaltsgesetzes [AnwG; sGS 963.70]). Somit hat der Staat den Rechtsvertreter pauschal mit Fr. 2'400.-- (inkl. Barauslagen und Mehrwertsteuer) zu entschädigen. 5.3      Wenn die wirtschaftlichen Verhältnisse des Beschwerdeführers es gestatten, kann er jedoch zur Nachzahlung der Auslagen für die Vertretung verpflichtet werden (Art. 123 Abs. 1 des Bundesgesetzes über die Zivilprozessordnung [ZPO; SR 272] i.V.m. Art. 99 Abs. 2 VRP/SG). Entscheid 1. Die Beschwerde wird abgewiesen. 2. Es werden keine Gerichtskosten erhoben. 3. Der Staat entschädigt den Rechtsvertreter des Beschwerdeführers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